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8B" w:rsidRDefault="00E9388B" w:rsidP="00565823">
      <w:pPr>
        <w:pStyle w:val="Title"/>
        <w:rPr>
          <w:rFonts w:cs="Times New Roman"/>
        </w:rPr>
      </w:pPr>
      <w:bookmarkStart w:id="0" w:name="_GoBack"/>
      <w:bookmarkEnd w:id="0"/>
      <w:r>
        <w:t xml:space="preserve"> Small Scale Historical Games 2018 Schedule @ 20 Mar 18</w:t>
      </w:r>
    </w:p>
    <w:p w:rsidR="00E9388B" w:rsidRDefault="00E9388B" w:rsidP="00565823"/>
    <w:p w:rsidR="00E9388B" w:rsidRDefault="00E9388B" w:rsidP="00565823">
      <w:r>
        <w:t>Hi Warlord members.</w:t>
      </w:r>
    </w:p>
    <w:p w:rsidR="00E9388B" w:rsidRDefault="00E9388B" w:rsidP="00565823">
      <w:r>
        <w:t xml:space="preserve">Below is our little group of gamers gaming schedule. This is a living document so it will be amended and updated as we progress through the year. </w:t>
      </w:r>
    </w:p>
    <w:p w:rsidR="00E9388B" w:rsidRDefault="00E9388B" w:rsidP="00565823">
      <w:r>
        <w:t xml:space="preserve">We are sharing our programme with the wider Warlords members so that you </w:t>
      </w:r>
      <w:proofErr w:type="gramStart"/>
      <w:r>
        <w:t>have the opportunity to</w:t>
      </w:r>
      <w:proofErr w:type="gramEnd"/>
      <w:r>
        <w:t xml:space="preserve"> participate if you desire.  If you would like to join us in one or more of our </w:t>
      </w:r>
      <w:proofErr w:type="gramStart"/>
      <w:r>
        <w:t>games</w:t>
      </w:r>
      <w:proofErr w:type="gramEnd"/>
      <w:r>
        <w:t xml:space="preserve"> please contact/email me. My email address is below.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560"/>
        <w:gridCol w:w="1701"/>
        <w:gridCol w:w="6066"/>
      </w:tblGrid>
      <w:tr w:rsidR="00E9388B" w:rsidRPr="00FF1439">
        <w:tc>
          <w:tcPr>
            <w:tcW w:w="1129" w:type="dxa"/>
            <w:shd w:val="clear" w:color="auto" w:fill="D9D9D9"/>
          </w:tcPr>
          <w:p w:rsidR="00E9388B" w:rsidRPr="00FF1439" w:rsidRDefault="00E9388B" w:rsidP="00FF1439">
            <w:pPr>
              <w:spacing w:after="0" w:line="240" w:lineRule="auto"/>
              <w:jc w:val="center"/>
            </w:pPr>
            <w:r w:rsidRPr="00FF1439">
              <w:t>Month</w:t>
            </w:r>
          </w:p>
        </w:tc>
        <w:tc>
          <w:tcPr>
            <w:tcW w:w="1560" w:type="dxa"/>
            <w:shd w:val="clear" w:color="auto" w:fill="D9D9D9"/>
          </w:tcPr>
          <w:p w:rsidR="00E9388B" w:rsidRPr="00FF1439" w:rsidRDefault="00E9388B" w:rsidP="00FF1439">
            <w:pPr>
              <w:spacing w:after="0" w:line="240" w:lineRule="auto"/>
              <w:jc w:val="center"/>
            </w:pPr>
            <w:r w:rsidRPr="00FF1439">
              <w:t>Meeting Date</w:t>
            </w:r>
          </w:p>
        </w:tc>
        <w:tc>
          <w:tcPr>
            <w:tcW w:w="1701" w:type="dxa"/>
            <w:shd w:val="clear" w:color="auto" w:fill="D9D9D9"/>
          </w:tcPr>
          <w:p w:rsidR="00E9388B" w:rsidRPr="00FF1439" w:rsidRDefault="00E9388B" w:rsidP="00FF1439">
            <w:pPr>
              <w:spacing w:after="0" w:line="240" w:lineRule="auto"/>
              <w:jc w:val="center"/>
            </w:pPr>
            <w:r w:rsidRPr="00FF1439">
              <w:t>Responsible</w:t>
            </w:r>
          </w:p>
        </w:tc>
        <w:tc>
          <w:tcPr>
            <w:tcW w:w="6066" w:type="dxa"/>
            <w:shd w:val="clear" w:color="auto" w:fill="D9D9D9"/>
          </w:tcPr>
          <w:p w:rsidR="00E9388B" w:rsidRPr="00FF1439" w:rsidRDefault="00E9388B" w:rsidP="00FF1439">
            <w:pPr>
              <w:spacing w:after="0" w:line="240" w:lineRule="auto"/>
              <w:jc w:val="center"/>
            </w:pPr>
            <w:r w:rsidRPr="00FF1439">
              <w:t>Game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Jan</w:t>
            </w: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6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Jake</w:t>
            </w:r>
            <w:r>
              <w:t xml:space="preserve"> Collins</w:t>
            </w:r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Naval Command</w:t>
            </w:r>
            <w:r>
              <w:t xml:space="preserve"> – 1/3000 Modern naval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20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Simon</w:t>
            </w:r>
            <w:r>
              <w:t xml:space="preserve"> Eaton</w:t>
            </w:r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 xml:space="preserve">Ship Wreck – </w:t>
            </w:r>
            <w:r>
              <w:t xml:space="preserve">1/3000 </w:t>
            </w:r>
            <w:r w:rsidRPr="00FF1439">
              <w:t>PLAN vs JMDSF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Feb</w:t>
            </w: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3</w:t>
            </w:r>
            <w:r w:rsidRPr="00FF1439">
              <w:rPr>
                <w:vertAlign w:val="superscript"/>
              </w:rPr>
              <w:t>rd</w:t>
            </w:r>
            <w:r w:rsidRPr="00FF1439">
              <w:t xml:space="preserve"> 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Neil</w:t>
            </w:r>
            <w:r>
              <w:t xml:space="preserve"> </w:t>
            </w:r>
            <w:proofErr w:type="spellStart"/>
            <w:r>
              <w:t>Sanson</w:t>
            </w:r>
            <w:proofErr w:type="spellEnd"/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r>
              <w:t xml:space="preserve">15mm Big Battle </w:t>
            </w:r>
            <w:r w:rsidRPr="00FF1439">
              <w:t>DBA</w:t>
            </w:r>
            <w:r>
              <w:t>: A Steppe too far.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17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Simon</w:t>
            </w:r>
            <w:r>
              <w:t xml:space="preserve"> Eaton</w:t>
            </w:r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Air Wa</w:t>
            </w:r>
            <w:r>
              <w:t xml:space="preserve">r C21 –1/300 </w:t>
            </w:r>
            <w:proofErr w:type="gramStart"/>
            <w:r>
              <w:t xml:space="preserve">aircraft,  </w:t>
            </w:r>
            <w:proofErr w:type="spellStart"/>
            <w:r>
              <w:t>Imagi</w:t>
            </w:r>
            <w:proofErr w:type="spellEnd"/>
            <w:proofErr w:type="gramEnd"/>
            <w:r>
              <w:t>-nations in Africa; 1985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Mar</w:t>
            </w: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3</w:t>
            </w:r>
            <w:r w:rsidRPr="00FF1439">
              <w:rPr>
                <w:vertAlign w:val="superscript"/>
              </w:rPr>
              <w:t>rd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Dave</w:t>
            </w:r>
            <w:r>
              <w:t xml:space="preserve"> Nichols</w:t>
            </w:r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r>
              <w:t>Command Decision: Test of Battles. 6mm WW2.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17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C60BBA">
            <w:pPr>
              <w:spacing w:after="0" w:line="240" w:lineRule="auto"/>
            </w:pPr>
            <w:r w:rsidRPr="00FF1439">
              <w:t>Dave</w:t>
            </w:r>
            <w:r>
              <w:t xml:space="preserve"> Nichols</w:t>
            </w:r>
          </w:p>
        </w:tc>
        <w:tc>
          <w:tcPr>
            <w:tcW w:w="6066" w:type="dxa"/>
          </w:tcPr>
          <w:p w:rsidR="00E9388B" w:rsidRPr="00FF1439" w:rsidRDefault="00E9388B" w:rsidP="00C60BBA">
            <w:pPr>
              <w:spacing w:after="0" w:line="240" w:lineRule="auto"/>
            </w:pPr>
            <w:r>
              <w:t>Command Decision: Test of Battles. 6mm WW2.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31</w:t>
            </w:r>
            <w:r w:rsidRPr="00FF1439">
              <w:rPr>
                <w:vertAlign w:val="superscript"/>
              </w:rPr>
              <w:t>st</w:t>
            </w:r>
            <w:r w:rsidRPr="00FF1439">
              <w:t xml:space="preserve"> </w:t>
            </w:r>
          </w:p>
        </w:tc>
        <w:tc>
          <w:tcPr>
            <w:tcW w:w="1701" w:type="dxa"/>
          </w:tcPr>
          <w:p w:rsidR="00E9388B" w:rsidRPr="00FF1439" w:rsidRDefault="00E9388B" w:rsidP="00C60BBA">
            <w:pPr>
              <w:spacing w:after="0" w:line="240" w:lineRule="auto"/>
            </w:pPr>
            <w:r w:rsidRPr="00FF1439">
              <w:t>Dave</w:t>
            </w:r>
            <w:r>
              <w:t xml:space="preserve"> Nichols</w:t>
            </w:r>
          </w:p>
        </w:tc>
        <w:tc>
          <w:tcPr>
            <w:tcW w:w="6066" w:type="dxa"/>
          </w:tcPr>
          <w:p w:rsidR="00E9388B" w:rsidRPr="00FF1439" w:rsidRDefault="00E9388B" w:rsidP="00C60BBA">
            <w:pPr>
              <w:spacing w:after="0" w:line="240" w:lineRule="auto"/>
            </w:pPr>
            <w:r>
              <w:t>Command Decision: Test of Battles. 6mm WW2.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Apr</w:t>
            </w: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7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>
              <w:t>Julian Davies</w:t>
            </w:r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proofErr w:type="spellStart"/>
            <w:r>
              <w:t>B’Maso</w:t>
            </w:r>
            <w:proofErr w:type="spellEnd"/>
            <w:r>
              <w:t xml:space="preserve">. 6mm African </w:t>
            </w:r>
            <w:proofErr w:type="spellStart"/>
            <w:r>
              <w:t>Imagi</w:t>
            </w:r>
            <w:proofErr w:type="spellEnd"/>
            <w:r>
              <w:t xml:space="preserve">-nations 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21</w:t>
            </w:r>
            <w:r w:rsidRPr="00FF1439">
              <w:rPr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Jake</w:t>
            </w:r>
            <w:r>
              <w:t xml:space="preserve"> Collins</w:t>
            </w:r>
          </w:p>
        </w:tc>
        <w:tc>
          <w:tcPr>
            <w:tcW w:w="6066" w:type="dxa"/>
          </w:tcPr>
          <w:p w:rsidR="00E9388B" w:rsidRPr="00FF1439" w:rsidRDefault="00E9388B" w:rsidP="00FF1439">
            <w:pPr>
              <w:spacing w:after="0" w:line="240" w:lineRule="auto"/>
            </w:pPr>
            <w:r>
              <w:t>Cold War Commander. 6mm North German Plain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May</w:t>
            </w:r>
          </w:p>
        </w:tc>
        <w:tc>
          <w:tcPr>
            <w:tcW w:w="1560" w:type="dxa"/>
          </w:tcPr>
          <w:p w:rsidR="00E9388B" w:rsidRPr="00FF1439" w:rsidRDefault="00E9388B" w:rsidP="00FF1439">
            <w:pPr>
              <w:spacing w:after="0" w:line="240" w:lineRule="auto"/>
            </w:pPr>
            <w:r w:rsidRPr="00FF1439">
              <w:t>5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FF1439">
            <w:pPr>
              <w:spacing w:after="0" w:line="240" w:lineRule="auto"/>
            </w:pPr>
            <w:r>
              <w:t>Dave Nichols</w:t>
            </w:r>
          </w:p>
        </w:tc>
        <w:tc>
          <w:tcPr>
            <w:tcW w:w="6066" w:type="dxa"/>
          </w:tcPr>
          <w:p w:rsidR="00E9388B" w:rsidRPr="00FF1439" w:rsidRDefault="00E9388B" w:rsidP="00DF5E19">
            <w:pPr>
              <w:spacing w:after="0" w:line="240" w:lineRule="auto"/>
            </w:pPr>
            <w:r>
              <w:t>Age of Sail game – It is Warm Work rules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19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Tim Rowe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 xml:space="preserve">15mm Big Battle </w:t>
            </w:r>
            <w:r w:rsidRPr="00FF1439">
              <w:t>DBA</w:t>
            </w:r>
            <w:r>
              <w:t>: Battle of Lewes 1264, refight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Jun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2</w:t>
            </w:r>
            <w:r w:rsidRPr="00FF1439">
              <w:rPr>
                <w:vertAlign w:val="superscript"/>
              </w:rPr>
              <w:t>nd</w:t>
            </w:r>
            <w:r w:rsidRPr="00FF1439">
              <w:t xml:space="preserve"> 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Dave Nichols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Age of Sail game – Form Line of Battle or Post Captain rules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16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Simon Eaton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 xml:space="preserve">6mm </w:t>
            </w:r>
            <w:proofErr w:type="spellStart"/>
            <w:r>
              <w:t>SciFi</w:t>
            </w:r>
            <w:proofErr w:type="spellEnd"/>
            <w:r>
              <w:t xml:space="preserve"> games in the Traveller Universe – Striker Zero Rules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30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Simon Eaton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 xml:space="preserve">6mm </w:t>
            </w:r>
            <w:proofErr w:type="spellStart"/>
            <w:r>
              <w:t>SciFi</w:t>
            </w:r>
            <w:proofErr w:type="spellEnd"/>
            <w:r>
              <w:t xml:space="preserve"> games in the Traveller Universe – Striker Zero Rules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Jul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7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proofErr w:type="spellStart"/>
            <w:r w:rsidRPr="00FF1439">
              <w:t>Michail</w:t>
            </w:r>
            <w:proofErr w:type="spellEnd"/>
            <w:r>
              <w:t xml:space="preserve"> Woolf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1/3000</w:t>
            </w:r>
            <w:r w:rsidRPr="00DF5E19">
              <w:rPr>
                <w:vertAlign w:val="superscript"/>
              </w:rPr>
              <w:t>th</w:t>
            </w:r>
            <w:r>
              <w:t xml:space="preserve"> scale Space game – Full Thrust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21</w:t>
            </w:r>
            <w:r w:rsidRPr="00FF1439">
              <w:rPr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Dave Nichols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Battle of Kursk - Command Decision: Test of Battles. 6mm WW2.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Aug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3</w:t>
            </w:r>
            <w:r w:rsidRPr="005D1C2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Simon Eaton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 xml:space="preserve">Call to Arms. </w:t>
            </w:r>
            <w:r>
              <w:t>We p</w:t>
            </w:r>
            <w:r w:rsidRPr="00FF1439">
              <w:t xml:space="preserve">lan to host </w:t>
            </w:r>
            <w:r>
              <w:t xml:space="preserve">a </w:t>
            </w:r>
            <w:r w:rsidRPr="00FF1439">
              <w:t>participation game</w:t>
            </w:r>
            <w:r>
              <w:t>. Mid/late 1970s Baltic engagement between Swedish and USSR aircraft.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18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proofErr w:type="spellStart"/>
            <w:r w:rsidRPr="00FF1439">
              <w:t>Michail</w:t>
            </w:r>
            <w:proofErr w:type="spellEnd"/>
            <w:r>
              <w:t xml:space="preserve"> Woolf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1/3000</w:t>
            </w:r>
            <w:r w:rsidRPr="00DF5E19">
              <w:rPr>
                <w:vertAlign w:val="superscript"/>
              </w:rPr>
              <w:t>th</w:t>
            </w:r>
            <w:r>
              <w:t xml:space="preserve"> scale Space game – Full Thrust</w:t>
            </w:r>
          </w:p>
        </w:tc>
      </w:tr>
      <w:tr w:rsidR="00E9388B" w:rsidRPr="00FF1439" w:rsidTr="00590B3D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Sep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</w:t>
            </w:r>
            <w:r w:rsidRPr="00FF1439">
              <w:rPr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Julian Davies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TBD</w:t>
            </w:r>
          </w:p>
        </w:tc>
      </w:tr>
      <w:tr w:rsidR="00E9388B" w:rsidRPr="00FF1439" w:rsidTr="00590B3D">
        <w:tc>
          <w:tcPr>
            <w:tcW w:w="1129" w:type="dxa"/>
          </w:tcPr>
          <w:p w:rsidR="00E9388B" w:rsidRPr="00590B3D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590B3D" w:rsidRDefault="00E9388B" w:rsidP="00556D6D">
            <w:pPr>
              <w:spacing w:after="0" w:line="240" w:lineRule="auto"/>
            </w:pPr>
            <w:r w:rsidRPr="00590B3D">
              <w:t>15</w:t>
            </w:r>
            <w:r w:rsidRPr="00590B3D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590B3D" w:rsidRDefault="00E9388B" w:rsidP="00556D6D">
            <w:pPr>
              <w:spacing w:after="0" w:line="240" w:lineRule="auto"/>
            </w:pPr>
            <w:r w:rsidRPr="00590B3D">
              <w:t>Dave Nichols</w:t>
            </w:r>
          </w:p>
        </w:tc>
        <w:tc>
          <w:tcPr>
            <w:tcW w:w="6066" w:type="dxa"/>
          </w:tcPr>
          <w:p w:rsidR="00E9388B" w:rsidRPr="00590B3D" w:rsidRDefault="00E9388B" w:rsidP="00556D6D">
            <w:pPr>
              <w:spacing w:after="0" w:line="240" w:lineRule="auto"/>
            </w:pPr>
            <w:r w:rsidRPr="00590B3D">
              <w:t xml:space="preserve">15mm Pike &amp; Shot 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29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proofErr w:type="spellStart"/>
            <w:r w:rsidRPr="00FF1439">
              <w:t>Michail</w:t>
            </w:r>
            <w:proofErr w:type="spellEnd"/>
            <w:r>
              <w:t xml:space="preserve"> Woolf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1/3000</w:t>
            </w:r>
            <w:r w:rsidRPr="00DF5E19">
              <w:rPr>
                <w:vertAlign w:val="superscript"/>
              </w:rPr>
              <w:t>th</w:t>
            </w:r>
            <w:r>
              <w:t xml:space="preserve"> scale Space game – Full Thrust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Oct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6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Jake</w:t>
            </w:r>
            <w:r>
              <w:t xml:space="preserve"> Collins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TBC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20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Simon Eaton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1/3000</w:t>
            </w:r>
            <w:r w:rsidRPr="00125826">
              <w:rPr>
                <w:vertAlign w:val="superscript"/>
              </w:rPr>
              <w:t>th</w:t>
            </w:r>
            <w:r>
              <w:t xml:space="preserve"> WW2 Pacific Naval </w:t>
            </w:r>
          </w:p>
        </w:tc>
      </w:tr>
      <w:tr w:rsidR="00E9388B" w:rsidRPr="00FF1439" w:rsidTr="00590B3D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Nov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3</w:t>
            </w:r>
            <w:r w:rsidRPr="00FF1439">
              <w:rPr>
                <w:vertAlign w:val="superscript"/>
              </w:rPr>
              <w:t>rd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Simon Eaton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1/3000</w:t>
            </w:r>
            <w:r w:rsidRPr="00125826">
              <w:rPr>
                <w:vertAlign w:val="superscript"/>
              </w:rPr>
              <w:t>th</w:t>
            </w:r>
            <w:r>
              <w:t xml:space="preserve"> WW2 Pacific Naval</w:t>
            </w:r>
          </w:p>
        </w:tc>
      </w:tr>
      <w:tr w:rsidR="00E9388B" w:rsidRPr="00FF1439" w:rsidTr="00590B3D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17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590B3D" w:rsidRDefault="00E9388B" w:rsidP="004A0472">
            <w:pPr>
              <w:spacing w:after="0" w:line="240" w:lineRule="auto"/>
            </w:pPr>
            <w:r w:rsidRPr="00590B3D">
              <w:t>Dave Nichols</w:t>
            </w:r>
          </w:p>
        </w:tc>
        <w:tc>
          <w:tcPr>
            <w:tcW w:w="6066" w:type="dxa"/>
          </w:tcPr>
          <w:p w:rsidR="00E9388B" w:rsidRPr="00590B3D" w:rsidRDefault="00E9388B" w:rsidP="004A0472">
            <w:pPr>
              <w:spacing w:after="0" w:line="240" w:lineRule="auto"/>
            </w:pPr>
            <w:r w:rsidRPr="00590B3D">
              <w:t xml:space="preserve">15mm Pike &amp; Shot </w:t>
            </w: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Dec</w:t>
            </w: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</w:t>
            </w:r>
            <w:r w:rsidRPr="00FF1439">
              <w:rPr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Julian Davies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TBD</w:t>
            </w:r>
          </w:p>
        </w:tc>
      </w:tr>
      <w:tr w:rsidR="00E9388B" w:rsidRPr="00FF1439">
        <w:tc>
          <w:tcPr>
            <w:tcW w:w="1129" w:type="dxa"/>
            <w:shd w:val="clear" w:color="auto" w:fill="FFFF99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FFFF99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15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FFFF99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6066" w:type="dxa"/>
            <w:shd w:val="clear" w:color="auto" w:fill="FFFF99"/>
          </w:tcPr>
          <w:p w:rsidR="00E9388B" w:rsidRPr="00FF1439" w:rsidRDefault="00E9388B" w:rsidP="00556D6D">
            <w:pPr>
              <w:spacing w:after="0" w:line="240" w:lineRule="auto"/>
            </w:pPr>
          </w:p>
        </w:tc>
      </w:tr>
      <w:tr w:rsidR="00E9388B" w:rsidRPr="00FF1439">
        <w:tc>
          <w:tcPr>
            <w:tcW w:w="1129" w:type="dxa"/>
          </w:tcPr>
          <w:p w:rsidR="00E9388B" w:rsidRPr="00FF1439" w:rsidRDefault="00E9388B" w:rsidP="00556D6D">
            <w:pPr>
              <w:spacing w:after="0" w:line="240" w:lineRule="auto"/>
            </w:pPr>
          </w:p>
        </w:tc>
        <w:tc>
          <w:tcPr>
            <w:tcW w:w="1560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29</w:t>
            </w:r>
            <w:r w:rsidRPr="00FF1439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E9388B" w:rsidRPr="00FF1439" w:rsidRDefault="00E9388B" w:rsidP="00556D6D">
            <w:pPr>
              <w:spacing w:after="0" w:line="240" w:lineRule="auto"/>
            </w:pPr>
            <w:r w:rsidRPr="00FF1439">
              <w:t>Jake</w:t>
            </w:r>
            <w:r>
              <w:t xml:space="preserve"> Collins</w:t>
            </w:r>
          </w:p>
        </w:tc>
        <w:tc>
          <w:tcPr>
            <w:tcW w:w="6066" w:type="dxa"/>
          </w:tcPr>
          <w:p w:rsidR="00E9388B" w:rsidRPr="00FF1439" w:rsidRDefault="00E9388B" w:rsidP="00556D6D">
            <w:pPr>
              <w:spacing w:after="0" w:line="240" w:lineRule="auto"/>
            </w:pPr>
            <w:r>
              <w:t>TBC</w:t>
            </w:r>
          </w:p>
        </w:tc>
      </w:tr>
    </w:tbl>
    <w:p w:rsidR="00E9388B" w:rsidRDefault="00E9388B" w:rsidP="00565823">
      <w:pPr>
        <w:pStyle w:val="Heading1"/>
        <w:rPr>
          <w:rFonts w:cs="Times New Roman"/>
        </w:rPr>
      </w:pPr>
      <w:r>
        <w:t>Contact Details</w:t>
      </w:r>
    </w:p>
    <w:p w:rsidR="00E9388B" w:rsidRDefault="00E9388B" w:rsidP="00125826">
      <w:r>
        <w:t xml:space="preserve">Simon: </w:t>
      </w:r>
      <w:hyperlink r:id="rId4" w:history="1">
        <w:r w:rsidRPr="005046B8">
          <w:rPr>
            <w:rStyle w:val="Hyperlink"/>
          </w:rPr>
          <w:t>simon_eaton@hotmail.com</w:t>
        </w:r>
      </w:hyperlink>
      <w:r>
        <w:t xml:space="preserve"> </w:t>
      </w:r>
    </w:p>
    <w:sectPr w:rsidR="00E9388B" w:rsidSect="00565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AppendixName" w:val="Appendix"/>
  </w:docVars>
  <w:rsids>
    <w:rsidRoot w:val="00565823"/>
    <w:rsid w:val="0004214C"/>
    <w:rsid w:val="00125826"/>
    <w:rsid w:val="0022205F"/>
    <w:rsid w:val="0026694B"/>
    <w:rsid w:val="00274B95"/>
    <w:rsid w:val="00374EB7"/>
    <w:rsid w:val="004A0472"/>
    <w:rsid w:val="005046B8"/>
    <w:rsid w:val="0054034E"/>
    <w:rsid w:val="0054186C"/>
    <w:rsid w:val="00556D6D"/>
    <w:rsid w:val="00565823"/>
    <w:rsid w:val="00590B3D"/>
    <w:rsid w:val="005B16C2"/>
    <w:rsid w:val="005B49E6"/>
    <w:rsid w:val="005D1C2E"/>
    <w:rsid w:val="005F3198"/>
    <w:rsid w:val="00652AD6"/>
    <w:rsid w:val="00664932"/>
    <w:rsid w:val="00730FD0"/>
    <w:rsid w:val="00790E0E"/>
    <w:rsid w:val="007C3448"/>
    <w:rsid w:val="008619E1"/>
    <w:rsid w:val="008757D3"/>
    <w:rsid w:val="00AB4A4E"/>
    <w:rsid w:val="00B01E8C"/>
    <w:rsid w:val="00BA76A6"/>
    <w:rsid w:val="00BC231F"/>
    <w:rsid w:val="00C60BBA"/>
    <w:rsid w:val="00C64382"/>
    <w:rsid w:val="00C80E69"/>
    <w:rsid w:val="00C84FA7"/>
    <w:rsid w:val="00CD496F"/>
    <w:rsid w:val="00DB1226"/>
    <w:rsid w:val="00DF5E19"/>
    <w:rsid w:val="00E9388B"/>
    <w:rsid w:val="00F6713B"/>
    <w:rsid w:val="00F968CA"/>
    <w:rsid w:val="00FD7F4E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401DDD-216B-490E-A6F6-F7D678C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0E0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823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823"/>
    <w:rPr>
      <w:rFonts w:ascii="Calibri Light" w:hAnsi="Calibri Light" w:cs="Calibri Light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565823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65823"/>
    <w:rPr>
      <w:rFonts w:ascii="Calibri Light" w:hAnsi="Calibri Light" w:cs="Calibri Light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5658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D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_ea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Wargaming 2018 Schedule</vt:lpstr>
    </vt:vector>
  </TitlesOfParts>
  <Company>New Zealand Defence Force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Wargaming 2018 Schedule</dc:title>
  <dc:subject/>
  <dc:creator>b49819</dc:creator>
  <cp:keywords/>
  <dc:description/>
  <cp:lastModifiedBy>Rowe, Katrina</cp:lastModifiedBy>
  <cp:revision>2</cp:revision>
  <dcterms:created xsi:type="dcterms:W3CDTF">2018-04-03T08:43:00Z</dcterms:created>
  <dcterms:modified xsi:type="dcterms:W3CDTF">2018-04-03T08:43:00Z</dcterms:modified>
</cp:coreProperties>
</file>